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08" w:rsidRPr="00D27E22" w:rsidRDefault="000A0A06" w:rsidP="00D27E22">
      <w:pPr>
        <w:pStyle w:val="Heading1KD"/>
        <w:spacing w:after="0" w:line="240" w:lineRule="auto"/>
        <w:rPr>
          <w:sz w:val="28"/>
          <w:szCs w:val="28"/>
        </w:rPr>
      </w:pPr>
      <w:r w:rsidRPr="00D27E22">
        <w:rPr>
          <w:sz w:val="28"/>
          <w:szCs w:val="28"/>
        </w:rPr>
        <w:t>Должностная инструкция учителя информатики</w:t>
      </w:r>
    </w:p>
    <w:p w:rsidR="00E53E08" w:rsidRPr="00D27E22" w:rsidRDefault="00E53E08" w:rsidP="00D27E22">
      <w:pPr>
        <w:spacing w:after="0" w:line="240" w:lineRule="auto"/>
        <w:jc w:val="center"/>
        <w:rPr>
          <w:b/>
          <w:sz w:val="28"/>
          <w:szCs w:val="28"/>
        </w:rPr>
      </w:pPr>
      <w:r w:rsidRPr="00D27E22">
        <w:rPr>
          <w:b/>
          <w:sz w:val="28"/>
          <w:szCs w:val="28"/>
        </w:rPr>
        <w:t>МКОУ «</w:t>
      </w:r>
      <w:r w:rsidR="00D27E22" w:rsidRPr="00D27E22">
        <w:rPr>
          <w:b/>
          <w:sz w:val="28"/>
          <w:szCs w:val="28"/>
        </w:rPr>
        <w:t>Впередовская  С</w:t>
      </w:r>
      <w:r w:rsidRPr="00D27E22">
        <w:rPr>
          <w:b/>
          <w:sz w:val="28"/>
          <w:szCs w:val="28"/>
        </w:rPr>
        <w:t>ОШ»</w:t>
      </w:r>
    </w:p>
    <w:p w:rsidR="00FA507F" w:rsidRPr="00D27E22" w:rsidRDefault="000A0A06" w:rsidP="00D27E22">
      <w:pPr>
        <w:pStyle w:val="Heading1KD"/>
        <w:spacing w:after="0" w:line="240" w:lineRule="auto"/>
        <w:jc w:val="left"/>
        <w:rPr>
          <w:sz w:val="24"/>
          <w:szCs w:val="24"/>
        </w:rPr>
      </w:pPr>
      <w:r w:rsidRPr="00D27E22">
        <w:rPr>
          <w:sz w:val="24"/>
          <w:szCs w:val="24"/>
        </w:rPr>
        <w:t>1. Общие положения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информатики (далее – учитель) относится к категории педагогических работников.</w:t>
      </w:r>
      <w:r w:rsidR="00B81BAE" w:rsidRPr="00B81BAE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D2C8C" w:rsidRPr="00B53698">
        <w:t>на основании ФЗ №273 от 29.12.2012г «Об образовании в Российской Федерации»</w:t>
      </w:r>
      <w:r w:rsidR="008D2C8C">
        <w:t xml:space="preserve"> (с изменениями и дополнениями)</w:t>
      </w:r>
      <w:r w:rsidR="008D2C8C" w:rsidRPr="00B53698">
        <w:t xml:space="preserve">; с учетом требований ФГОС основного общего образования, утвержденного Приказом </w:t>
      </w:r>
      <w:r w:rsidR="008D2C8C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D2C8C" w:rsidRPr="00B53698">
        <w:t xml:space="preserve">; </w:t>
      </w:r>
      <w:r w:rsidR="00B81BAE" w:rsidRPr="00B81BAE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FA507F" w:rsidRDefault="000A0A06" w:rsidP="00D27E22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FA507F" w:rsidRDefault="000A0A06" w:rsidP="00D27E22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имеющее или имевшее судимость за преступления, составы и виды которых установлены законодательством Российской Федерации;</w:t>
      </w:r>
    </w:p>
    <w:p w:rsidR="00FA507F" w:rsidRDefault="000A0A06" w:rsidP="00D27E22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признанное недееспособным в установленном законом порядке;</w:t>
      </w:r>
    </w:p>
    <w:p w:rsidR="00FA507F" w:rsidRDefault="000A0A06" w:rsidP="00D27E22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 xml:space="preserve">имеющее заболевание, предусмотренное установленным перечнем. 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нормативные документы по вопросам обучения и воспитания детей и молодежи;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предметного обучения математике учитель должен знать: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 xml:space="preserve">основы математической теории и перспективные направления развития современной математики;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методику преподавания математики;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FA507F" w:rsidRDefault="00D27E22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понимать документацию специалистов (психологов, дефектологов, логопедов и т. д.);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FA507F" w:rsidRDefault="000A0A06" w:rsidP="00D27E2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предметного обучения математике учитель должен уметь: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оказывать помощь обучающимся в самостоятельной локализации ошибки, ее исправлении;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оказывать помощь обучающимся в улучшении (обобщении, сокращении, более ясном изложении) рассуждения;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поощрять выбор различных путей в решении поставленной задачи;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основными математическими компьютерными инструментами:</w:t>
      </w:r>
    </w:p>
    <w:p w:rsidR="00FA507F" w:rsidRDefault="000A0A06" w:rsidP="00D27E22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визуализации данных, зависимостей, отношений, процессов, геометрических объектов;</w:t>
      </w:r>
    </w:p>
    <w:p w:rsidR="00FA507F" w:rsidRDefault="000A0A06" w:rsidP="00D27E22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вычислений – численных и символьных;</w:t>
      </w:r>
    </w:p>
    <w:p w:rsidR="00FA507F" w:rsidRDefault="000A0A06" w:rsidP="00D27E22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обработки данных (статистики);</w:t>
      </w:r>
    </w:p>
    <w:p w:rsidR="00FA507F" w:rsidRDefault="000A0A06" w:rsidP="00D27E22">
      <w:pPr>
        <w:pStyle w:val="defaultStyle"/>
        <w:numPr>
          <w:ilvl w:val="2"/>
          <w:numId w:val="10"/>
        </w:numPr>
        <w:spacing w:after="0" w:line="240" w:lineRule="auto"/>
        <w:jc w:val="left"/>
      </w:pPr>
      <w:r>
        <w:t>экспериментальных лабораторий (вероятность, информатика);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квалифицированно набирать математический текст;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:rsidR="00FA507F" w:rsidRDefault="000A0A06" w:rsidP="00D27E2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:rsidR="00FA507F" w:rsidRPr="00D27E22" w:rsidRDefault="000A0A06" w:rsidP="00D27E2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D27E22">
        <w:rPr>
          <w:sz w:val="24"/>
          <w:szCs w:val="24"/>
        </w:rPr>
        <w:t>2. Должностные обязанности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lastRenderedPageBreak/>
        <w:t>При реализации трудовой функции «воспитательная деятельность»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предметном обучении математике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конкретные знания, умения и навыки в области математики и информатики;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внутреннюю (мысленную) модель математической ситуации (включая пространственный образ);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сотрудничать с другими учителями математики и информатики, физики, экономики, языков и т. д.;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инициативы обучающихся по использованию математики;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совместно с обучающимися недостоверные и малоправдоподобные данные;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FA507F" w:rsidRDefault="000A0A06" w:rsidP="00D27E2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:rsidR="00FA507F" w:rsidRDefault="000A0A06" w:rsidP="00D27E22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lastRenderedPageBreak/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FA507F" w:rsidRDefault="000A0A06" w:rsidP="00D27E22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t>умение действовать в соответствии с алгоритмом и строить простейшие алгоритмы,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FA507F" w:rsidRDefault="000A0A06" w:rsidP="00D27E22">
      <w:pPr>
        <w:pStyle w:val="defaultStyle"/>
        <w:numPr>
          <w:ilvl w:val="0"/>
          <w:numId w:val="15"/>
        </w:numPr>
        <w:spacing w:after="0" w:line="240" w:lineRule="auto"/>
        <w:jc w:val="left"/>
      </w:pPr>
      <w:r>
        <w:t>приобретение первоначальных представлений о компьютерной грамотности.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FA507F" w:rsidRDefault="000A0A06" w:rsidP="00D27E22">
      <w:pPr>
        <w:pStyle w:val="defaultStyle"/>
        <w:numPr>
          <w:ilvl w:val="2"/>
          <w:numId w:val="11"/>
        </w:numPr>
        <w:spacing w:after="0" w:line="240" w:lineRule="auto"/>
        <w:ind w:left="709" w:firstLine="11"/>
        <w:jc w:val="left"/>
      </w:pPr>
      <w:r>
        <w:t>При реализации образовательной программы по и</w:t>
      </w:r>
      <w:r w:rsidR="00D27E22">
        <w:t xml:space="preserve">нформатике учитель обеспечивает </w:t>
      </w:r>
      <w:r>
        <w:t>достижение требований к следующим предметным результатам обучающихся:</w:t>
      </w:r>
    </w:p>
    <w:p w:rsidR="00D27E22" w:rsidRDefault="000A0A06" w:rsidP="00D27E22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овладение простейшими способами представления и</w:t>
      </w:r>
      <w:r w:rsidR="00D27E22">
        <w:t xml:space="preserve"> анализа статистических данных;</w:t>
      </w:r>
    </w:p>
    <w:p w:rsidR="00FA507F" w:rsidRDefault="000A0A06" w:rsidP="00D27E22">
      <w:pPr>
        <w:pStyle w:val="defaultStyle"/>
        <w:numPr>
          <w:ilvl w:val="0"/>
          <w:numId w:val="16"/>
        </w:numPr>
        <w:spacing w:after="0" w:line="240" w:lineRule="auto"/>
        <w:jc w:val="left"/>
      </w:pPr>
      <w: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формирование представления о статистических характеристиках, вероятности случайного события;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решение простейших комбинаторных задач;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определение основных статистических характеристик числовых наборов;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оценивание и вычисление вероятности события в простейших случаях;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б)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распознавание верных и неверных высказываний;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lastRenderedPageBreak/>
        <w:t>– оценивание результатов вычислений при решении практических задач;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выполнение сравнения чисел в реальных ситуациях;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использование числовых выражений при решении практических задач и задач из других учебных предметов;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– решение практических задач с применением простейших свойств фигур;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в)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г) формирование представления об основных изучаемых понятиях: информация, алгоритм, модель – и их свойствах;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д)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условной и циклической;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е) 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ж)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</w:t>
      </w:r>
      <w:r>
        <w:lastRenderedPageBreak/>
        <w:t>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FA507F" w:rsidRDefault="000A0A06" w:rsidP="00D27E2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FA507F" w:rsidRDefault="000A0A06" w:rsidP="00D27E2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FA507F" w:rsidRPr="00D27E22" w:rsidRDefault="000A0A06" w:rsidP="00D27E2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D27E22">
        <w:rPr>
          <w:sz w:val="24"/>
          <w:szCs w:val="24"/>
        </w:rPr>
        <w:t>3. Права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FA507F" w:rsidRDefault="000A0A06" w:rsidP="00D27E2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FA507F" w:rsidRDefault="000A0A06" w:rsidP="00D27E2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A507F" w:rsidRPr="00D27E22" w:rsidRDefault="000A0A06" w:rsidP="00D27E2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D27E22">
        <w:rPr>
          <w:sz w:val="24"/>
          <w:szCs w:val="24"/>
        </w:rPr>
        <w:t>4. Ответственность</w:t>
      </w:r>
    </w:p>
    <w:p w:rsidR="00FA507F" w:rsidRDefault="000A0A06" w:rsidP="00D27E22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FA507F" w:rsidRDefault="000A0A06" w:rsidP="00D27E2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FA507F" w:rsidRDefault="000A0A06" w:rsidP="00D27E2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FA507F" w:rsidRDefault="000A0A06" w:rsidP="00D27E2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FA507F" w:rsidRDefault="000A0A06" w:rsidP="00D27E2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FA507F" w:rsidRDefault="000A0A06" w:rsidP="00D27E2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FA507F" w:rsidRDefault="00FA507F" w:rsidP="00D27E22">
      <w:pPr>
        <w:pStyle w:val="defaultStyle"/>
        <w:spacing w:after="0" w:line="240" w:lineRule="auto"/>
        <w:jc w:val="left"/>
      </w:pPr>
    </w:p>
    <w:p w:rsidR="00EF3753" w:rsidRDefault="00EF3753" w:rsidP="00D27E22">
      <w:pPr>
        <w:pStyle w:val="defaultStyle"/>
        <w:spacing w:after="0" w:line="240" w:lineRule="auto"/>
        <w:jc w:val="left"/>
        <w:rPr>
          <w:bCs/>
          <w:i/>
          <w:iCs/>
        </w:rPr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D27E22" w:rsidRDefault="00D27E22" w:rsidP="00D27E22">
      <w:r>
        <w:t xml:space="preserve">«___»  _____________20___г.                                         </w:t>
      </w:r>
    </w:p>
    <w:p w:rsidR="00D27E22" w:rsidRDefault="00D27E22" w:rsidP="00D27E22">
      <w:pPr>
        <w:spacing w:after="0"/>
        <w:jc w:val="center"/>
      </w:pPr>
      <w:r>
        <w:t>_____________ /___________________________________/</w:t>
      </w:r>
    </w:p>
    <w:p w:rsidR="00D27E22" w:rsidRPr="00D27E22" w:rsidRDefault="00D27E22" w:rsidP="00D27E22">
      <w:pPr>
        <w:spacing w:after="0"/>
        <w:rPr>
          <w:sz w:val="16"/>
          <w:szCs w:val="16"/>
        </w:rPr>
      </w:pPr>
      <w:r>
        <w:t xml:space="preserve">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sectPr w:rsidR="00D27E22" w:rsidRPr="00D27E2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34B" w:rsidRDefault="00FE534B" w:rsidP="006E0FDA">
      <w:pPr>
        <w:spacing w:after="0" w:line="240" w:lineRule="auto"/>
      </w:pPr>
      <w:r>
        <w:separator/>
      </w:r>
    </w:p>
  </w:endnote>
  <w:endnote w:type="continuationSeparator" w:id="1">
    <w:p w:rsidR="00FE534B" w:rsidRDefault="00FE534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34B" w:rsidRDefault="00FE534B" w:rsidP="006E0FDA">
      <w:pPr>
        <w:spacing w:after="0" w:line="240" w:lineRule="auto"/>
      </w:pPr>
      <w:r>
        <w:separator/>
      </w:r>
    </w:p>
  </w:footnote>
  <w:footnote w:type="continuationSeparator" w:id="1">
    <w:p w:rsidR="00FE534B" w:rsidRDefault="00FE534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7F" w:rsidRDefault="00FA507F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C" w:rsidRDefault="000A0A0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614"/>
    <w:multiLevelType w:val="hybridMultilevel"/>
    <w:tmpl w:val="6B14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2EF8"/>
    <w:multiLevelType w:val="multilevel"/>
    <w:tmpl w:val="6E064EA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2">
    <w:nsid w:val="09217319"/>
    <w:multiLevelType w:val="hybridMultilevel"/>
    <w:tmpl w:val="B7AE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3C4A"/>
    <w:multiLevelType w:val="multilevel"/>
    <w:tmpl w:val="A45E1FD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2D7931E7"/>
    <w:multiLevelType w:val="multilevel"/>
    <w:tmpl w:val="1132176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6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01B4507"/>
    <w:multiLevelType w:val="hybridMultilevel"/>
    <w:tmpl w:val="C60C49DA"/>
    <w:lvl w:ilvl="0" w:tplc="30444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30B5F"/>
    <w:multiLevelType w:val="hybridMultilevel"/>
    <w:tmpl w:val="DEB66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4BB698B"/>
    <w:multiLevelType w:val="multilevel"/>
    <w:tmpl w:val="9358421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5">
    <w:nsid w:val="7DC53CB4"/>
    <w:multiLevelType w:val="hybridMultilevel"/>
    <w:tmpl w:val="1B9CA94A"/>
    <w:lvl w:ilvl="0" w:tplc="71271193">
      <w:start w:val="1"/>
      <w:numFmt w:val="decimal"/>
      <w:lvlText w:val="%1."/>
      <w:lvlJc w:val="left"/>
      <w:pPr>
        <w:ind w:left="720" w:hanging="360"/>
      </w:pPr>
    </w:lvl>
    <w:lvl w:ilvl="1" w:tplc="71271193" w:tentative="1">
      <w:start w:val="1"/>
      <w:numFmt w:val="lowerLetter"/>
      <w:lvlText w:val="%2."/>
      <w:lvlJc w:val="left"/>
      <w:pPr>
        <w:ind w:left="1440" w:hanging="360"/>
      </w:pPr>
    </w:lvl>
    <w:lvl w:ilvl="2" w:tplc="71271193" w:tentative="1">
      <w:start w:val="1"/>
      <w:numFmt w:val="lowerRoman"/>
      <w:lvlText w:val="%3."/>
      <w:lvlJc w:val="right"/>
      <w:pPr>
        <w:ind w:left="2160" w:hanging="180"/>
      </w:pPr>
    </w:lvl>
    <w:lvl w:ilvl="3" w:tplc="71271193" w:tentative="1">
      <w:start w:val="1"/>
      <w:numFmt w:val="decimal"/>
      <w:lvlText w:val="%4."/>
      <w:lvlJc w:val="left"/>
      <w:pPr>
        <w:ind w:left="2880" w:hanging="360"/>
      </w:pPr>
    </w:lvl>
    <w:lvl w:ilvl="4" w:tplc="71271193" w:tentative="1">
      <w:start w:val="1"/>
      <w:numFmt w:val="lowerLetter"/>
      <w:lvlText w:val="%5."/>
      <w:lvlJc w:val="left"/>
      <w:pPr>
        <w:ind w:left="3600" w:hanging="360"/>
      </w:pPr>
    </w:lvl>
    <w:lvl w:ilvl="5" w:tplc="71271193" w:tentative="1">
      <w:start w:val="1"/>
      <w:numFmt w:val="lowerRoman"/>
      <w:lvlText w:val="%6."/>
      <w:lvlJc w:val="right"/>
      <w:pPr>
        <w:ind w:left="4320" w:hanging="180"/>
      </w:pPr>
    </w:lvl>
    <w:lvl w:ilvl="6" w:tplc="71271193" w:tentative="1">
      <w:start w:val="1"/>
      <w:numFmt w:val="decimal"/>
      <w:lvlText w:val="%7."/>
      <w:lvlJc w:val="left"/>
      <w:pPr>
        <w:ind w:left="5040" w:hanging="360"/>
      </w:pPr>
    </w:lvl>
    <w:lvl w:ilvl="7" w:tplc="71271193" w:tentative="1">
      <w:start w:val="1"/>
      <w:numFmt w:val="lowerLetter"/>
      <w:lvlText w:val="%8."/>
      <w:lvlJc w:val="left"/>
      <w:pPr>
        <w:ind w:left="5760" w:hanging="360"/>
      </w:pPr>
    </w:lvl>
    <w:lvl w:ilvl="8" w:tplc="7127119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A0A06"/>
    <w:rsid w:val="000F6147"/>
    <w:rsid w:val="00112029"/>
    <w:rsid w:val="00135412"/>
    <w:rsid w:val="00361FF4"/>
    <w:rsid w:val="003B5299"/>
    <w:rsid w:val="004155C9"/>
    <w:rsid w:val="00493A0C"/>
    <w:rsid w:val="004D4498"/>
    <w:rsid w:val="004D6B48"/>
    <w:rsid w:val="00531A4E"/>
    <w:rsid w:val="00535F5A"/>
    <w:rsid w:val="00555F58"/>
    <w:rsid w:val="005873A3"/>
    <w:rsid w:val="006E6663"/>
    <w:rsid w:val="0079165E"/>
    <w:rsid w:val="007F6F5B"/>
    <w:rsid w:val="008B3AC2"/>
    <w:rsid w:val="008D2C8C"/>
    <w:rsid w:val="008F680D"/>
    <w:rsid w:val="00AC197E"/>
    <w:rsid w:val="00B21D59"/>
    <w:rsid w:val="00B81BAE"/>
    <w:rsid w:val="00BD419F"/>
    <w:rsid w:val="00CA7501"/>
    <w:rsid w:val="00D27E22"/>
    <w:rsid w:val="00D933E8"/>
    <w:rsid w:val="00DF064E"/>
    <w:rsid w:val="00E53E08"/>
    <w:rsid w:val="00E85C4C"/>
    <w:rsid w:val="00EF3753"/>
    <w:rsid w:val="00FA507F"/>
    <w:rsid w:val="00FB45FF"/>
    <w:rsid w:val="00FE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D9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D933E8"/>
  </w:style>
  <w:style w:type="numbering" w:customStyle="1" w:styleId="NoListPHPDOCX">
    <w:name w:val="No List PHPDOCX"/>
    <w:uiPriority w:val="99"/>
    <w:semiHidden/>
    <w:unhideWhenUsed/>
    <w:rsid w:val="00D933E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D933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D933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D27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E22"/>
  </w:style>
  <w:style w:type="paragraph" w:styleId="a5">
    <w:name w:val="footer"/>
    <w:basedOn w:val="a"/>
    <w:link w:val="a6"/>
    <w:uiPriority w:val="99"/>
    <w:semiHidden/>
    <w:unhideWhenUsed/>
    <w:rsid w:val="00D27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FA65-DCEB-439E-998A-BF43C86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7769</Words>
  <Characters>44284</Characters>
  <Application>Microsoft Office Word</Application>
  <DocSecurity>0</DocSecurity>
  <Lines>369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10</cp:revision>
  <dcterms:created xsi:type="dcterms:W3CDTF">2022-05-16T10:11:00Z</dcterms:created>
  <dcterms:modified xsi:type="dcterms:W3CDTF">2024-02-26T08:09:00Z</dcterms:modified>
</cp:coreProperties>
</file>